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F742C" w14:textId="77777777" w:rsidR="009B393F" w:rsidRPr="009B393F" w:rsidRDefault="009B393F" w:rsidP="009B393F"/>
    <w:p w14:paraId="17E8730F" w14:textId="77777777" w:rsidR="009B393F" w:rsidRPr="009B393F" w:rsidRDefault="009B393F" w:rsidP="009B393F">
      <w:r w:rsidRPr="009B393F">
        <w:t xml:space="preserve"> </w:t>
      </w:r>
      <w:r w:rsidRPr="009B393F">
        <w:rPr>
          <w:b/>
          <w:bCs/>
        </w:rPr>
        <w:t xml:space="preserve">12-GAUGE DRAG STABILIZED ROUND </w:t>
      </w:r>
    </w:p>
    <w:p w14:paraId="4B92CD55" w14:textId="77777777" w:rsidR="009B393F" w:rsidRPr="009B393F" w:rsidRDefault="009B393F" w:rsidP="009B393F"/>
    <w:p w14:paraId="59DC0946" w14:textId="77777777" w:rsidR="009B393F" w:rsidRPr="009B393F" w:rsidRDefault="009B393F" w:rsidP="009B393F">
      <w:r w:rsidRPr="009B393F">
        <w:t xml:space="preserve"> 1855 South Loop Casper, WY 82601 www.defense-technology.com 800.347.1200 Defense Technology, LLC Rev. 08/22 </w:t>
      </w:r>
    </w:p>
    <w:p w14:paraId="695CA2A3" w14:textId="77777777" w:rsidR="009B393F" w:rsidRPr="009B393F" w:rsidRDefault="009B393F" w:rsidP="009B393F"/>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769"/>
        <w:gridCol w:w="3769"/>
      </w:tblGrid>
      <w:tr w:rsidR="009B393F" w:rsidRPr="009B393F" w14:paraId="7CC658C1" w14:textId="77777777">
        <w:tblPrEx>
          <w:tblCellMar>
            <w:top w:w="0" w:type="dxa"/>
            <w:bottom w:w="0" w:type="dxa"/>
          </w:tblCellMar>
        </w:tblPrEx>
        <w:trPr>
          <w:trHeight w:val="90"/>
        </w:trPr>
        <w:tc>
          <w:tcPr>
            <w:tcW w:w="7538" w:type="dxa"/>
            <w:gridSpan w:val="2"/>
            <w:tcBorders>
              <w:top w:val="none" w:sz="6" w:space="0" w:color="auto"/>
              <w:bottom w:val="none" w:sz="6" w:space="0" w:color="auto"/>
            </w:tcBorders>
          </w:tcPr>
          <w:p w14:paraId="21D829BF" w14:textId="77777777" w:rsidR="009B393F" w:rsidRPr="009B393F" w:rsidRDefault="009B393F" w:rsidP="009B393F">
            <w:r w:rsidRPr="009B393F">
              <w:t xml:space="preserve"> </w:t>
            </w:r>
            <w:r w:rsidRPr="009B393F">
              <w:rPr>
                <w:b/>
                <w:bCs/>
              </w:rPr>
              <w:t xml:space="preserve">PRODUCT SPECIFICATIONS </w:t>
            </w:r>
          </w:p>
        </w:tc>
      </w:tr>
      <w:tr w:rsidR="009B393F" w:rsidRPr="009B393F" w14:paraId="30B863CE"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6047D22E" w14:textId="77777777" w:rsidR="009B393F" w:rsidRPr="009B393F" w:rsidRDefault="009B393F" w:rsidP="009B393F">
            <w:r w:rsidRPr="009B393F">
              <w:t xml:space="preserve">Diameter </w:t>
            </w:r>
          </w:p>
        </w:tc>
        <w:tc>
          <w:tcPr>
            <w:tcW w:w="3769" w:type="dxa"/>
            <w:tcBorders>
              <w:top w:val="none" w:sz="6" w:space="0" w:color="auto"/>
              <w:left w:val="none" w:sz="6" w:space="0" w:color="auto"/>
              <w:bottom w:val="none" w:sz="6" w:space="0" w:color="auto"/>
            </w:tcBorders>
          </w:tcPr>
          <w:p w14:paraId="3E572878" w14:textId="77777777" w:rsidR="009B393F" w:rsidRPr="009B393F" w:rsidRDefault="009B393F" w:rsidP="009B393F">
            <w:r w:rsidRPr="009B393F">
              <w:t xml:space="preserve">12-Gauge </w:t>
            </w:r>
          </w:p>
        </w:tc>
      </w:tr>
      <w:tr w:rsidR="009B393F" w:rsidRPr="009B393F" w14:paraId="21996801"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2CD99201" w14:textId="77777777" w:rsidR="009B393F" w:rsidRPr="009B393F" w:rsidRDefault="009B393F" w:rsidP="009B393F">
            <w:r w:rsidRPr="009B393F">
              <w:t xml:space="preserve">Length </w:t>
            </w:r>
          </w:p>
        </w:tc>
        <w:tc>
          <w:tcPr>
            <w:tcW w:w="3769" w:type="dxa"/>
            <w:tcBorders>
              <w:top w:val="none" w:sz="6" w:space="0" w:color="auto"/>
              <w:left w:val="none" w:sz="6" w:space="0" w:color="auto"/>
              <w:bottom w:val="none" w:sz="6" w:space="0" w:color="auto"/>
            </w:tcBorders>
          </w:tcPr>
          <w:p w14:paraId="31C304BC" w14:textId="77777777" w:rsidR="009B393F" w:rsidRPr="009B393F" w:rsidRDefault="009B393F" w:rsidP="009B393F">
            <w:r w:rsidRPr="009B393F">
              <w:t xml:space="preserve">2.50 in / 6.3 cm </w:t>
            </w:r>
          </w:p>
        </w:tc>
      </w:tr>
      <w:tr w:rsidR="009B393F" w:rsidRPr="009B393F" w14:paraId="164D2538"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1537C1B0" w14:textId="77777777" w:rsidR="009B393F" w:rsidRPr="009B393F" w:rsidRDefault="009B393F" w:rsidP="009B393F">
            <w:r w:rsidRPr="009B393F">
              <w:t xml:space="preserve">Projectile Count </w:t>
            </w:r>
          </w:p>
        </w:tc>
        <w:tc>
          <w:tcPr>
            <w:tcW w:w="3769" w:type="dxa"/>
            <w:tcBorders>
              <w:top w:val="none" w:sz="6" w:space="0" w:color="auto"/>
              <w:left w:val="none" w:sz="6" w:space="0" w:color="auto"/>
              <w:bottom w:val="none" w:sz="6" w:space="0" w:color="auto"/>
            </w:tcBorders>
          </w:tcPr>
          <w:p w14:paraId="170E2FD1" w14:textId="77777777" w:rsidR="009B393F" w:rsidRPr="009B393F" w:rsidRDefault="009B393F" w:rsidP="009B393F">
            <w:r w:rsidRPr="009B393F">
              <w:t xml:space="preserve">1 </w:t>
            </w:r>
          </w:p>
        </w:tc>
      </w:tr>
      <w:tr w:rsidR="009B393F" w:rsidRPr="009B393F" w14:paraId="259DC049"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289982FA" w14:textId="77777777" w:rsidR="009B393F" w:rsidRPr="009B393F" w:rsidRDefault="009B393F" w:rsidP="009B393F">
            <w:r w:rsidRPr="009B393F">
              <w:t xml:space="preserve">Velocity </w:t>
            </w:r>
          </w:p>
        </w:tc>
        <w:tc>
          <w:tcPr>
            <w:tcW w:w="3769" w:type="dxa"/>
            <w:tcBorders>
              <w:top w:val="none" w:sz="6" w:space="0" w:color="auto"/>
              <w:left w:val="none" w:sz="6" w:space="0" w:color="auto"/>
              <w:bottom w:val="none" w:sz="6" w:space="0" w:color="auto"/>
            </w:tcBorders>
          </w:tcPr>
          <w:p w14:paraId="24427C0D" w14:textId="77777777" w:rsidR="009B393F" w:rsidRPr="009B393F" w:rsidRDefault="009B393F" w:rsidP="009B393F">
            <w:r w:rsidRPr="009B393F">
              <w:t xml:space="preserve">270 fps / 82 </w:t>
            </w:r>
            <w:proofErr w:type="spellStart"/>
            <w:r w:rsidRPr="009B393F">
              <w:t>mps</w:t>
            </w:r>
            <w:proofErr w:type="spellEnd"/>
            <w:r w:rsidRPr="009B393F">
              <w:t xml:space="preserve"> </w:t>
            </w:r>
          </w:p>
        </w:tc>
      </w:tr>
      <w:tr w:rsidR="009B393F" w:rsidRPr="009B393F" w14:paraId="758D74B7"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2FE687E3" w14:textId="77777777" w:rsidR="009B393F" w:rsidRPr="009B393F" w:rsidRDefault="009B393F" w:rsidP="009B393F">
            <w:r w:rsidRPr="009B393F">
              <w:t xml:space="preserve">Minimum Safe Range </w:t>
            </w:r>
          </w:p>
        </w:tc>
        <w:tc>
          <w:tcPr>
            <w:tcW w:w="3769" w:type="dxa"/>
            <w:tcBorders>
              <w:top w:val="none" w:sz="6" w:space="0" w:color="auto"/>
              <w:left w:val="none" w:sz="6" w:space="0" w:color="auto"/>
              <w:bottom w:val="none" w:sz="6" w:space="0" w:color="auto"/>
            </w:tcBorders>
          </w:tcPr>
          <w:p w14:paraId="39F7E15D" w14:textId="77777777" w:rsidR="009B393F" w:rsidRPr="009B393F" w:rsidRDefault="009B393F" w:rsidP="009B393F">
            <w:r w:rsidRPr="009B393F">
              <w:t xml:space="preserve">20 ft / 6.1 m </w:t>
            </w:r>
          </w:p>
        </w:tc>
      </w:tr>
      <w:tr w:rsidR="009B393F" w:rsidRPr="009B393F" w14:paraId="14C1DC23"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4EC378B5" w14:textId="77777777" w:rsidR="009B393F" w:rsidRPr="009B393F" w:rsidRDefault="009B393F" w:rsidP="009B393F">
            <w:r w:rsidRPr="009B393F">
              <w:t xml:space="preserve">Maximum Effective Range </w:t>
            </w:r>
          </w:p>
        </w:tc>
        <w:tc>
          <w:tcPr>
            <w:tcW w:w="3769" w:type="dxa"/>
            <w:tcBorders>
              <w:top w:val="none" w:sz="6" w:space="0" w:color="auto"/>
              <w:left w:val="none" w:sz="6" w:space="0" w:color="auto"/>
              <w:bottom w:val="none" w:sz="6" w:space="0" w:color="auto"/>
            </w:tcBorders>
          </w:tcPr>
          <w:p w14:paraId="3BFA84B5" w14:textId="77777777" w:rsidR="009B393F" w:rsidRPr="009B393F" w:rsidRDefault="009B393F" w:rsidP="009B393F">
            <w:r w:rsidRPr="009B393F">
              <w:t xml:space="preserve">75 ft / 22.9 m </w:t>
            </w:r>
          </w:p>
        </w:tc>
      </w:tr>
      <w:tr w:rsidR="009B393F" w:rsidRPr="009B393F" w14:paraId="2CD2F0B2" w14:textId="77777777">
        <w:tblPrEx>
          <w:tblCellMar>
            <w:top w:w="0" w:type="dxa"/>
            <w:bottom w:w="0" w:type="dxa"/>
          </w:tblCellMar>
        </w:tblPrEx>
        <w:trPr>
          <w:trHeight w:val="90"/>
        </w:trPr>
        <w:tc>
          <w:tcPr>
            <w:tcW w:w="7538" w:type="dxa"/>
            <w:gridSpan w:val="2"/>
            <w:tcBorders>
              <w:top w:val="none" w:sz="6" w:space="0" w:color="auto"/>
              <w:bottom w:val="none" w:sz="6" w:space="0" w:color="auto"/>
            </w:tcBorders>
          </w:tcPr>
          <w:p w14:paraId="6C26F005" w14:textId="77777777" w:rsidR="009B393F" w:rsidRPr="009B393F" w:rsidRDefault="009B393F" w:rsidP="009B393F">
            <w:r w:rsidRPr="009B393F">
              <w:rPr>
                <w:b/>
                <w:bCs/>
              </w:rPr>
              <w:t xml:space="preserve">PROJECTILE SPECIFICATIONS </w:t>
            </w:r>
          </w:p>
        </w:tc>
      </w:tr>
      <w:tr w:rsidR="009B393F" w:rsidRPr="009B393F" w14:paraId="2F9DA586"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3368A053" w14:textId="77777777" w:rsidR="009B393F" w:rsidRPr="009B393F" w:rsidRDefault="009B393F" w:rsidP="009B393F">
            <w:r w:rsidRPr="009B393F">
              <w:t xml:space="preserve">Material </w:t>
            </w:r>
          </w:p>
        </w:tc>
        <w:tc>
          <w:tcPr>
            <w:tcW w:w="3769" w:type="dxa"/>
            <w:tcBorders>
              <w:top w:val="none" w:sz="6" w:space="0" w:color="auto"/>
              <w:left w:val="none" w:sz="6" w:space="0" w:color="auto"/>
              <w:bottom w:val="none" w:sz="6" w:space="0" w:color="auto"/>
            </w:tcBorders>
          </w:tcPr>
          <w:p w14:paraId="4FDB6AD1" w14:textId="77777777" w:rsidR="009B393F" w:rsidRPr="009B393F" w:rsidRDefault="009B393F" w:rsidP="009B393F">
            <w:r w:rsidRPr="009B393F">
              <w:t xml:space="preserve">Tear-shaped bag with tails filled with #9 shot </w:t>
            </w:r>
          </w:p>
        </w:tc>
      </w:tr>
      <w:tr w:rsidR="009B393F" w:rsidRPr="009B393F" w14:paraId="71C44A1F"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4DE3D81A" w14:textId="77777777" w:rsidR="009B393F" w:rsidRPr="009B393F" w:rsidRDefault="009B393F" w:rsidP="009B393F">
            <w:r w:rsidRPr="009B393F">
              <w:t xml:space="preserve">Length </w:t>
            </w:r>
          </w:p>
        </w:tc>
        <w:tc>
          <w:tcPr>
            <w:tcW w:w="3769" w:type="dxa"/>
            <w:tcBorders>
              <w:top w:val="none" w:sz="6" w:space="0" w:color="auto"/>
              <w:left w:val="none" w:sz="6" w:space="0" w:color="auto"/>
              <w:bottom w:val="none" w:sz="6" w:space="0" w:color="auto"/>
            </w:tcBorders>
          </w:tcPr>
          <w:p w14:paraId="38E62FCB" w14:textId="77777777" w:rsidR="009B393F" w:rsidRPr="009B393F" w:rsidRDefault="009B393F" w:rsidP="009B393F">
            <w:r w:rsidRPr="009B393F">
              <w:t xml:space="preserve">5.00 in / 12.7 cm </w:t>
            </w:r>
          </w:p>
        </w:tc>
      </w:tr>
      <w:tr w:rsidR="009B393F" w:rsidRPr="009B393F" w14:paraId="03548F45"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125C7D21" w14:textId="77777777" w:rsidR="009B393F" w:rsidRPr="009B393F" w:rsidRDefault="009B393F" w:rsidP="009B393F">
            <w:r w:rsidRPr="009B393F">
              <w:t xml:space="preserve">Weight </w:t>
            </w:r>
          </w:p>
        </w:tc>
        <w:tc>
          <w:tcPr>
            <w:tcW w:w="3769" w:type="dxa"/>
            <w:tcBorders>
              <w:top w:val="none" w:sz="6" w:space="0" w:color="auto"/>
              <w:left w:val="none" w:sz="6" w:space="0" w:color="auto"/>
              <w:bottom w:val="none" w:sz="6" w:space="0" w:color="auto"/>
            </w:tcBorders>
          </w:tcPr>
          <w:p w14:paraId="013903D4" w14:textId="77777777" w:rsidR="009B393F" w:rsidRPr="009B393F" w:rsidRDefault="009B393F" w:rsidP="009B393F">
            <w:r w:rsidRPr="009B393F">
              <w:t xml:space="preserve">1.43 oz / 40 g </w:t>
            </w:r>
          </w:p>
        </w:tc>
      </w:tr>
      <w:tr w:rsidR="009B393F" w:rsidRPr="009B393F" w14:paraId="1B9CADA3"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5E0906D5" w14:textId="77777777" w:rsidR="009B393F" w:rsidRPr="009B393F" w:rsidRDefault="009B393F" w:rsidP="009B393F">
            <w:r w:rsidRPr="009B393F">
              <w:t xml:space="preserve">Part No. </w:t>
            </w:r>
          </w:p>
        </w:tc>
        <w:tc>
          <w:tcPr>
            <w:tcW w:w="3769" w:type="dxa"/>
            <w:tcBorders>
              <w:top w:val="none" w:sz="6" w:space="0" w:color="auto"/>
              <w:left w:val="none" w:sz="6" w:space="0" w:color="auto"/>
              <w:bottom w:val="none" w:sz="6" w:space="0" w:color="auto"/>
            </w:tcBorders>
          </w:tcPr>
          <w:p w14:paraId="1B580AA2" w14:textId="77777777" w:rsidR="009B393F" w:rsidRPr="009B393F" w:rsidRDefault="009B393F" w:rsidP="009B393F">
            <w:r w:rsidRPr="009B393F">
              <w:t xml:space="preserve">3027 </w:t>
            </w:r>
          </w:p>
        </w:tc>
      </w:tr>
      <w:tr w:rsidR="009B393F" w:rsidRPr="009B393F" w14:paraId="7D764814" w14:textId="77777777">
        <w:tblPrEx>
          <w:tblCellMar>
            <w:top w:w="0" w:type="dxa"/>
            <w:bottom w:w="0" w:type="dxa"/>
          </w:tblCellMar>
        </w:tblPrEx>
        <w:trPr>
          <w:trHeight w:val="90"/>
        </w:trPr>
        <w:tc>
          <w:tcPr>
            <w:tcW w:w="3769" w:type="dxa"/>
            <w:tcBorders>
              <w:top w:val="none" w:sz="6" w:space="0" w:color="auto"/>
              <w:bottom w:val="none" w:sz="6" w:space="0" w:color="auto"/>
              <w:right w:val="none" w:sz="6" w:space="0" w:color="auto"/>
            </w:tcBorders>
          </w:tcPr>
          <w:p w14:paraId="64BE1650" w14:textId="77777777" w:rsidR="009B393F" w:rsidRPr="009B393F" w:rsidRDefault="009B393F" w:rsidP="009B393F">
            <w:r w:rsidRPr="009B393F">
              <w:t xml:space="preserve">Warranty </w:t>
            </w:r>
          </w:p>
        </w:tc>
        <w:tc>
          <w:tcPr>
            <w:tcW w:w="3769" w:type="dxa"/>
            <w:tcBorders>
              <w:top w:val="none" w:sz="6" w:space="0" w:color="auto"/>
              <w:left w:val="none" w:sz="6" w:space="0" w:color="auto"/>
              <w:bottom w:val="none" w:sz="6" w:space="0" w:color="auto"/>
            </w:tcBorders>
          </w:tcPr>
          <w:p w14:paraId="6B6ADB91" w14:textId="77777777" w:rsidR="009B393F" w:rsidRPr="009B393F" w:rsidRDefault="009B393F" w:rsidP="009B393F">
            <w:r w:rsidRPr="009B393F">
              <w:t xml:space="preserve">5 years from date of manufacture </w:t>
            </w:r>
          </w:p>
        </w:tc>
      </w:tr>
      <w:tr w:rsidR="009B393F" w:rsidRPr="009B393F" w14:paraId="59879E1A" w14:textId="77777777">
        <w:tblPrEx>
          <w:tblCellMar>
            <w:top w:w="0" w:type="dxa"/>
            <w:bottom w:w="0" w:type="dxa"/>
          </w:tblCellMar>
        </w:tblPrEx>
        <w:trPr>
          <w:trHeight w:val="2651"/>
        </w:trPr>
        <w:tc>
          <w:tcPr>
            <w:tcW w:w="7538" w:type="dxa"/>
            <w:gridSpan w:val="2"/>
            <w:tcBorders>
              <w:top w:val="none" w:sz="6" w:space="0" w:color="auto"/>
              <w:bottom w:val="none" w:sz="6" w:space="0" w:color="auto"/>
            </w:tcBorders>
          </w:tcPr>
          <w:p w14:paraId="3DB81197" w14:textId="77777777" w:rsidR="009B393F" w:rsidRPr="009B393F" w:rsidRDefault="009B393F" w:rsidP="009B393F">
            <w:r w:rsidRPr="009B393F">
              <w:rPr>
                <w:b/>
                <w:bCs/>
              </w:rPr>
              <w:lastRenderedPageBreak/>
              <w:t xml:space="preserve">ALL SPECIFICATIONS ARE AVERAGES AND SUBJECT TO CHANGE </w:t>
            </w:r>
            <w:r w:rsidRPr="009B393F">
              <w:t xml:space="preserve">The Drag Stabilized™ 12-Gauge Round can be deployed in crowd control situations to protect the riot line, cover or enhance chemical munitions, or target specific agitators and organizers of the crowd. When used in this fashion, it is both a psychological deterrent and physiological distraction for pain compliance, crowd dispersal or area denial. The Drag Stabilized™ 12-Gauge Round incorporates a 12-gauge shell loaded with a 40-gram, tear shaped projectile constructed of cotton and ballistic material blend filled with shot. This design utilizes stabilizing tails for improved accuracy and sustained energy over a longer range. The design and construction </w:t>
            </w:r>
            <w:proofErr w:type="gramStart"/>
            <w:r w:rsidRPr="009B393F">
              <w:t>reduces</w:t>
            </w:r>
            <w:proofErr w:type="gramEnd"/>
            <w:r w:rsidRPr="009B393F">
              <w:t xml:space="preserve"> the likelihood of the fabric rupturing or causing abrasion and lacerations. The Drag Stabilized™ 12-Gauge Round utilizes smokeless powder as the propellant. The Drag Stabilized™ 12-Gauge Rounds are the Law Enforcement Communities' number one choice for Less Lethal Impact Munitions. The "point-of-aim, point-of-impact" capabilities provide the ability to acquire a single target for incapacitation, distraction or to gain compliance. It is recommended that these rounds should only be used in an </w:t>
            </w:r>
            <w:proofErr w:type="gramStart"/>
            <w:r w:rsidRPr="009B393F">
              <w:t>eighteen inch</w:t>
            </w:r>
            <w:proofErr w:type="gramEnd"/>
            <w:r w:rsidRPr="009B393F">
              <w:t xml:space="preserve"> (18") cylinder bore shotgun with no choke. Use of semi-automatic weapons or different barrel lengths may affect velocity. The operator should be adequately trained in the use of Less Lethal Impact Munitions and have a thorough understanding of the round and considerations for selecting shot placement such as level of threat, target distance, size and clothing. The Drag Stabilized™ 12-Gauge Round proves most successful in incapacitation when used within its effective range of approximately 20 to 50 feet. These ranges offer the necessary energy and accuracy to target the large muscle groups of the subject. These areas provide sufficient pain and affect one's mobility while significantly minimizing serious or life-threatening injuries. Multiple shots may be required to achieve results. </w:t>
            </w:r>
          </w:p>
        </w:tc>
      </w:tr>
      <w:tr w:rsidR="009B393F" w:rsidRPr="009B393F" w14:paraId="3CBEAFA1" w14:textId="77777777">
        <w:tblPrEx>
          <w:tblCellMar>
            <w:top w:w="0" w:type="dxa"/>
            <w:bottom w:w="0" w:type="dxa"/>
          </w:tblCellMar>
        </w:tblPrEx>
        <w:trPr>
          <w:trHeight w:val="65"/>
        </w:trPr>
        <w:tc>
          <w:tcPr>
            <w:tcW w:w="7538" w:type="dxa"/>
            <w:gridSpan w:val="2"/>
            <w:tcBorders>
              <w:top w:val="none" w:sz="6" w:space="0" w:color="auto"/>
              <w:bottom w:val="none" w:sz="6" w:space="0" w:color="auto"/>
            </w:tcBorders>
          </w:tcPr>
          <w:p w14:paraId="42C939E4" w14:textId="77777777" w:rsidR="009B393F" w:rsidRPr="009B393F" w:rsidRDefault="009B393F" w:rsidP="009B393F">
            <w:r w:rsidRPr="009B393F">
              <w:rPr>
                <w:b/>
                <w:bCs/>
              </w:rPr>
              <w:t xml:space="preserve">WARNING </w:t>
            </w:r>
          </w:p>
        </w:tc>
      </w:tr>
    </w:tbl>
    <w:p w14:paraId="76F4F42B" w14:textId="620A4AA3" w:rsidR="00EC799F" w:rsidRDefault="00422EFA">
      <w:r>
        <w:t>Each lot is packaged in labeled 20-round boxes and clearly identified with a unique lot code. AIR records these lot numbers for every shipment, enabling full traceability from the Department’s inventory back to the original manufacturing batch should any future quality review or investigation be required.</w:t>
      </w:r>
    </w:p>
    <w:p w14:paraId="13EBB422" w14:textId="77777777" w:rsidR="00422EFA" w:rsidRDefault="00422EFA"/>
    <w:p w14:paraId="0821508C" w14:textId="40BDCCD2" w:rsidR="00422EFA" w:rsidRDefault="00422EFA">
      <w:r>
        <w:t>factory-new, brass-cased, .223 Rem 55gr FMJ-BT ammunition that fully satisfies the requirement for Federal American Eagle AE223J Equal or Better.</w:t>
      </w:r>
    </w:p>
    <w:p w14:paraId="062E3C13" w14:textId="77777777" w:rsidR="00422EFA" w:rsidRDefault="00422EFA"/>
    <w:p w14:paraId="1E131FE8" w14:textId="77777777" w:rsidR="00422EFA" w:rsidRDefault="00422EFA">
      <w:r>
        <w:t xml:space="preserve">.223 Rem 55 Grain Full Metal Jacket Boat Tail – Precision Series ammunition, as detailed in the attached specification sheet. </w:t>
      </w:r>
    </w:p>
    <w:p w14:paraId="0B3EF335" w14:textId="6A537096" w:rsidR="00422EFA" w:rsidRPr="00422EFA" w:rsidRDefault="00422EFA">
      <w:pPr>
        <w:rPr>
          <w:b/>
          <w:bCs/>
          <w:u w:val="single"/>
        </w:rPr>
      </w:pPr>
      <w:r w:rsidRPr="00422EFA">
        <w:rPr>
          <w:b/>
          <w:bCs/>
          <w:u w:val="single"/>
        </w:rPr>
        <w:t>Key characteristics:</w:t>
      </w:r>
    </w:p>
    <w:p w14:paraId="1E134841" w14:textId="5EBBD2F5" w:rsidR="00422EFA" w:rsidRDefault="00422EFA">
      <w:r>
        <w:t xml:space="preserve">● Caliber: .223 Remington </w:t>
      </w:r>
    </w:p>
    <w:p w14:paraId="58A7B4C2" w14:textId="77777777" w:rsidR="00422EFA" w:rsidRDefault="00422EFA">
      <w:r>
        <w:t xml:space="preserve">● Bullet: 55 grain Full Metal Jacket Boat Tail (FMJ-BT) </w:t>
      </w:r>
    </w:p>
    <w:p w14:paraId="6C7887BD" w14:textId="77777777" w:rsidR="00422EFA" w:rsidRDefault="00422EFA">
      <w:r>
        <w:t xml:space="preserve">● Case: Factory-new brass </w:t>
      </w:r>
    </w:p>
    <w:p w14:paraId="78623335" w14:textId="77777777" w:rsidR="00422EFA" w:rsidRDefault="00422EFA">
      <w:r>
        <w:t xml:space="preserve">● Average Muzzle Velocity: Approximately 3100 fps (test-barrel nominal) </w:t>
      </w:r>
    </w:p>
    <w:p w14:paraId="0166F8CA" w14:textId="66FC4EA6" w:rsidR="00422EFA" w:rsidRDefault="00422EFA">
      <w:r>
        <w:t>● Configuration: 20 rounds per box, 25 boxes per case (500 rounds per case</w:t>
      </w:r>
    </w:p>
    <w:sectPr w:rsidR="00422EFA">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C5744" w14:textId="77777777" w:rsidR="00971CC2" w:rsidRDefault="00971CC2" w:rsidP="00422EFA">
      <w:pPr>
        <w:spacing w:after="0" w:line="240" w:lineRule="auto"/>
      </w:pPr>
      <w:r>
        <w:separator/>
      </w:r>
    </w:p>
  </w:endnote>
  <w:endnote w:type="continuationSeparator" w:id="0">
    <w:p w14:paraId="6EC3E3E5" w14:textId="77777777" w:rsidR="00971CC2" w:rsidRDefault="00971CC2" w:rsidP="00422E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1BDC8" w14:textId="77777777" w:rsidR="00971CC2" w:rsidRDefault="00971CC2" w:rsidP="00422EFA">
      <w:pPr>
        <w:spacing w:after="0" w:line="240" w:lineRule="auto"/>
      </w:pPr>
      <w:r>
        <w:separator/>
      </w:r>
    </w:p>
  </w:footnote>
  <w:footnote w:type="continuationSeparator" w:id="0">
    <w:p w14:paraId="5C82D5AB" w14:textId="77777777" w:rsidR="00971CC2" w:rsidRDefault="00971CC2" w:rsidP="00422E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3B271" w14:textId="122A51BF" w:rsidR="00422EFA" w:rsidRDefault="00422EFA">
    <w:pPr>
      <w:pStyle w:val="Header"/>
    </w:pPr>
    <w:r>
      <w:t>Federal American Eagle Rifle Ammunition AE223J Equal or Better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EFA"/>
    <w:rsid w:val="00422EFA"/>
    <w:rsid w:val="00597648"/>
    <w:rsid w:val="006130A0"/>
    <w:rsid w:val="00691F37"/>
    <w:rsid w:val="00971CC2"/>
    <w:rsid w:val="009B393F"/>
    <w:rsid w:val="00CA7472"/>
    <w:rsid w:val="00EC79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168BA"/>
  <w15:chartTrackingRefBased/>
  <w15:docId w15:val="{C301B1CC-2F05-4B0F-BF1F-60A735C9B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2E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2E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2E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2E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2E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2E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2E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2E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2E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2E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2E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2E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2E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2E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2E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2E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2E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2EFA"/>
    <w:rPr>
      <w:rFonts w:eastAsiaTheme="majorEastAsia" w:cstheme="majorBidi"/>
      <w:color w:val="272727" w:themeColor="text1" w:themeTint="D8"/>
    </w:rPr>
  </w:style>
  <w:style w:type="paragraph" w:styleId="Title">
    <w:name w:val="Title"/>
    <w:basedOn w:val="Normal"/>
    <w:next w:val="Normal"/>
    <w:link w:val="TitleChar"/>
    <w:uiPriority w:val="10"/>
    <w:qFormat/>
    <w:rsid w:val="00422E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2E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2E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2E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2EFA"/>
    <w:pPr>
      <w:spacing w:before="160"/>
      <w:jc w:val="center"/>
    </w:pPr>
    <w:rPr>
      <w:i/>
      <w:iCs/>
      <w:color w:val="404040" w:themeColor="text1" w:themeTint="BF"/>
    </w:rPr>
  </w:style>
  <w:style w:type="character" w:customStyle="1" w:styleId="QuoteChar">
    <w:name w:val="Quote Char"/>
    <w:basedOn w:val="DefaultParagraphFont"/>
    <w:link w:val="Quote"/>
    <w:uiPriority w:val="29"/>
    <w:rsid w:val="00422EFA"/>
    <w:rPr>
      <w:i/>
      <w:iCs/>
      <w:color w:val="404040" w:themeColor="text1" w:themeTint="BF"/>
    </w:rPr>
  </w:style>
  <w:style w:type="paragraph" w:styleId="ListParagraph">
    <w:name w:val="List Paragraph"/>
    <w:basedOn w:val="Normal"/>
    <w:uiPriority w:val="34"/>
    <w:qFormat/>
    <w:rsid w:val="00422EFA"/>
    <w:pPr>
      <w:ind w:left="720"/>
      <w:contextualSpacing/>
    </w:pPr>
  </w:style>
  <w:style w:type="character" w:styleId="IntenseEmphasis">
    <w:name w:val="Intense Emphasis"/>
    <w:basedOn w:val="DefaultParagraphFont"/>
    <w:uiPriority w:val="21"/>
    <w:qFormat/>
    <w:rsid w:val="00422EFA"/>
    <w:rPr>
      <w:i/>
      <w:iCs/>
      <w:color w:val="0F4761" w:themeColor="accent1" w:themeShade="BF"/>
    </w:rPr>
  </w:style>
  <w:style w:type="paragraph" w:styleId="IntenseQuote">
    <w:name w:val="Intense Quote"/>
    <w:basedOn w:val="Normal"/>
    <w:next w:val="Normal"/>
    <w:link w:val="IntenseQuoteChar"/>
    <w:uiPriority w:val="30"/>
    <w:qFormat/>
    <w:rsid w:val="00422E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2EFA"/>
    <w:rPr>
      <w:i/>
      <w:iCs/>
      <w:color w:val="0F4761" w:themeColor="accent1" w:themeShade="BF"/>
    </w:rPr>
  </w:style>
  <w:style w:type="character" w:styleId="IntenseReference">
    <w:name w:val="Intense Reference"/>
    <w:basedOn w:val="DefaultParagraphFont"/>
    <w:uiPriority w:val="32"/>
    <w:qFormat/>
    <w:rsid w:val="00422EFA"/>
    <w:rPr>
      <w:b/>
      <w:bCs/>
      <w:smallCaps/>
      <w:color w:val="0F4761" w:themeColor="accent1" w:themeShade="BF"/>
      <w:spacing w:val="5"/>
    </w:rPr>
  </w:style>
  <w:style w:type="paragraph" w:styleId="Header">
    <w:name w:val="header"/>
    <w:basedOn w:val="Normal"/>
    <w:link w:val="HeaderChar"/>
    <w:uiPriority w:val="99"/>
    <w:unhideWhenUsed/>
    <w:rsid w:val="00422E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2EFA"/>
  </w:style>
  <w:style w:type="paragraph" w:styleId="Footer">
    <w:name w:val="footer"/>
    <w:basedOn w:val="Normal"/>
    <w:link w:val="FooterChar"/>
    <w:uiPriority w:val="99"/>
    <w:unhideWhenUsed/>
    <w:rsid w:val="00422E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E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18d9a23-3eda-4c0b-bb05-4f41db54822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F2F97FCC1AA614B8B2A58FF649B08D2" ma:contentTypeVersion="10" ma:contentTypeDescription="Create a new document." ma:contentTypeScope="" ma:versionID="fc69d9fae37a4ed7134e1a9ccbee3d62">
  <xsd:schema xmlns:xsd="http://www.w3.org/2001/XMLSchema" xmlns:xs="http://www.w3.org/2001/XMLSchema" xmlns:p="http://schemas.microsoft.com/office/2006/metadata/properties" xmlns:ns3="e18d9a23-3eda-4c0b-bb05-4f41db548227" xmlns:ns4="cab3a1bf-d912-4842-8e98-8e97bfebd414" targetNamespace="http://schemas.microsoft.com/office/2006/metadata/properties" ma:root="true" ma:fieldsID="4e8e6eedfee20d6e997b135d2a9a2345" ns3:_="" ns4:_="">
    <xsd:import namespace="e18d9a23-3eda-4c0b-bb05-4f41db548227"/>
    <xsd:import namespace="cab3a1bf-d912-4842-8e98-8e97bfebd41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_activity" minOccurs="0"/>
                <xsd:element ref="ns3:MediaServiceDateTake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8d9a23-3eda-4c0b-bb05-4f41db5482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BillingMetadata" ma:index="1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ab3a1bf-d912-4842-8e98-8e97bfebd4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24E77-A93D-4E30-8137-AE34BC7CAE9A}">
  <ds:schemaRefs>
    <ds:schemaRef ds:uri="http://schemas.microsoft.com/office/2006/metadata/properties"/>
    <ds:schemaRef ds:uri="http://schemas.microsoft.com/office/infopath/2007/PartnerControls"/>
    <ds:schemaRef ds:uri="e18d9a23-3eda-4c0b-bb05-4f41db548227"/>
  </ds:schemaRefs>
</ds:datastoreItem>
</file>

<file path=customXml/itemProps2.xml><?xml version="1.0" encoding="utf-8"?>
<ds:datastoreItem xmlns:ds="http://schemas.openxmlformats.org/officeDocument/2006/customXml" ds:itemID="{E156EC95-860A-451F-9D5F-8151D1619828}">
  <ds:schemaRefs>
    <ds:schemaRef ds:uri="http://schemas.microsoft.com/sharepoint/v3/contenttype/forms"/>
  </ds:schemaRefs>
</ds:datastoreItem>
</file>

<file path=customXml/itemProps3.xml><?xml version="1.0" encoding="utf-8"?>
<ds:datastoreItem xmlns:ds="http://schemas.openxmlformats.org/officeDocument/2006/customXml" ds:itemID="{AB3DC29A-727F-427E-9210-A18EDC6D01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8d9a23-3eda-4c0b-bb05-4f41db548227"/>
    <ds:schemaRef ds:uri="cab3a1bf-d912-4842-8e98-8e97bfebd4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3</Pages>
  <Words>513</Words>
  <Characters>2881</Characters>
  <Application>Microsoft Office Word</Application>
  <DocSecurity>0</DocSecurity>
  <Lines>78</Lines>
  <Paragraphs>37</Paragraphs>
  <ScaleCrop>false</ScaleCrop>
  <Company/>
  <LinksUpToDate>false</LinksUpToDate>
  <CharactersWithSpaces>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Amaral Jr, Kenneth A</dc:creator>
  <cp:keywords/>
  <dc:description/>
  <cp:lastModifiedBy>Amaral Jr, Kenneth A</cp:lastModifiedBy>
  <cp:revision>2</cp:revision>
  <dcterms:created xsi:type="dcterms:W3CDTF">2026-03-03T18:47:00Z</dcterms:created>
  <dcterms:modified xsi:type="dcterms:W3CDTF">2026-03-03T18:47:00Z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0x0101006F2F97FCC1AA614B8B2A58FF649B08D2</vt:lpwstr>
  </property>
</Properties>
</file>